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41F5" w14:textId="32F703A7" w:rsidR="006004C7" w:rsidRDefault="00AD611F" w:rsidP="006004C7">
      <w:pPr>
        <w:spacing w:after="0"/>
        <w:jc w:val="center"/>
        <w:rPr>
          <w:rFonts w:ascii="Arial Rounded MT Bold" w:hAnsi="Arial Rounded MT Bold"/>
          <w:b/>
          <w:iCs/>
          <w:sz w:val="26"/>
          <w:szCs w:val="26"/>
        </w:rPr>
      </w:pPr>
      <w:r>
        <w:rPr>
          <w:rFonts w:ascii="Arial Rounded MT Bold" w:hAnsi="Arial Rounded MT Bold"/>
          <w:b/>
          <w:iCs/>
          <w:sz w:val="26"/>
          <w:szCs w:val="26"/>
        </w:rPr>
        <w:t>Trade and Investment Agreements and Health</w:t>
      </w:r>
    </w:p>
    <w:p w14:paraId="30EFBA14" w14:textId="77777777" w:rsidR="00AD611F" w:rsidRPr="006004C7" w:rsidRDefault="00AD611F" w:rsidP="006004C7">
      <w:pPr>
        <w:spacing w:after="0"/>
        <w:jc w:val="center"/>
        <w:rPr>
          <w:rFonts w:ascii="Arial Rounded MT Bold" w:hAnsi="Arial Rounded MT Bold"/>
          <w:b/>
          <w:iCs/>
          <w:sz w:val="26"/>
          <w:szCs w:val="26"/>
        </w:rPr>
      </w:pPr>
    </w:p>
    <w:p w14:paraId="268F4A95" w14:textId="77777777" w:rsidR="00144408" w:rsidRDefault="00077BA2" w:rsidP="006004C7">
      <w:pPr>
        <w:jc w:val="center"/>
        <w:rPr>
          <w:rFonts w:ascii="Century Gothic" w:hAnsi="Century Gothic" w:cs="Segoe UI"/>
          <w:b/>
          <w:iCs/>
          <w:color w:val="0070C0"/>
          <w:sz w:val="32"/>
          <w:szCs w:val="32"/>
        </w:rPr>
      </w:pPr>
      <w:r w:rsidRPr="00077BA2">
        <w:rPr>
          <w:rFonts w:ascii="Century Gothic" w:hAnsi="Century Gothic" w:cs="Segoe UI"/>
          <w:b/>
          <w:iCs/>
          <w:color w:val="0070C0"/>
          <w:sz w:val="32"/>
          <w:szCs w:val="32"/>
        </w:rPr>
        <w:t>Sustainable Food System inclusions in International Investment Agreements Study</w:t>
      </w:r>
    </w:p>
    <w:p w14:paraId="50CBDACF" w14:textId="7C15E124" w:rsidR="00EF0AC6" w:rsidRPr="006004C7" w:rsidRDefault="00EF0AC6" w:rsidP="006004C7">
      <w:pPr>
        <w:jc w:val="center"/>
        <w:rPr>
          <w:rFonts w:ascii="Century Gothic" w:hAnsi="Century Gothic" w:cs="Segoe UI"/>
          <w:b/>
          <w:iCs/>
          <w:color w:val="0070C0"/>
          <w:sz w:val="32"/>
          <w:szCs w:val="32"/>
        </w:rPr>
      </w:pPr>
      <w:r w:rsidRPr="006004C7">
        <w:rPr>
          <w:rFonts w:ascii="Century Gothic" w:hAnsi="Century Gothic" w:cs="Segoe UI"/>
          <w:b/>
          <w:iCs/>
          <w:sz w:val="24"/>
          <w:szCs w:val="24"/>
        </w:rPr>
        <w:t>Concept note</w:t>
      </w:r>
      <w:r w:rsidR="00C86B02">
        <w:rPr>
          <w:rFonts w:ascii="Century Gothic" w:hAnsi="Century Gothic" w:cs="Segoe UI"/>
          <w:b/>
          <w:iCs/>
          <w:sz w:val="24"/>
          <w:szCs w:val="24"/>
        </w:rPr>
        <w:t xml:space="preserve"> and Agenda</w:t>
      </w:r>
    </w:p>
    <w:p w14:paraId="40EEFD1B" w14:textId="59209CBC" w:rsidR="00D3638C" w:rsidRDefault="00D3638C" w:rsidP="0067467B">
      <w:pPr>
        <w:spacing w:after="0" w:line="240" w:lineRule="auto"/>
        <w:jc w:val="both"/>
      </w:pPr>
      <w:r w:rsidRPr="000B4364">
        <w:rPr>
          <w:b/>
        </w:rPr>
        <w:t>Date:</w:t>
      </w:r>
      <w:r w:rsidRPr="000B4364">
        <w:t xml:space="preserve"> </w:t>
      </w:r>
      <w:r w:rsidR="00AD611F">
        <w:t>June 14, 2024</w:t>
      </w:r>
      <w:r w:rsidR="002D644C">
        <w:t xml:space="preserve"> 13:00-15:00</w:t>
      </w:r>
    </w:p>
    <w:p w14:paraId="2DAD5C20" w14:textId="77777777" w:rsidR="0067467B" w:rsidRPr="000B4364" w:rsidRDefault="0067467B" w:rsidP="0067467B">
      <w:pPr>
        <w:spacing w:after="0" w:line="240" w:lineRule="auto"/>
        <w:jc w:val="both"/>
      </w:pPr>
    </w:p>
    <w:p w14:paraId="79DCED2A" w14:textId="5573A7DD" w:rsidR="00D3638C" w:rsidRDefault="00D3638C" w:rsidP="0067467B">
      <w:pPr>
        <w:spacing w:after="0" w:line="240" w:lineRule="auto"/>
        <w:jc w:val="both"/>
      </w:pPr>
      <w:r w:rsidRPr="00B4041C">
        <w:rPr>
          <w:b/>
          <w:bCs/>
        </w:rPr>
        <w:t xml:space="preserve">Venue: </w:t>
      </w:r>
      <w:r w:rsidR="00144408">
        <w:t>UN City, Copenhagen</w:t>
      </w:r>
    </w:p>
    <w:p w14:paraId="715FA0F8" w14:textId="77777777" w:rsidR="0067467B" w:rsidRPr="00B4041C" w:rsidRDefault="0067467B" w:rsidP="0067467B">
      <w:pPr>
        <w:spacing w:after="0" w:line="240" w:lineRule="auto"/>
        <w:jc w:val="both"/>
      </w:pPr>
    </w:p>
    <w:p w14:paraId="7D122DAD" w14:textId="32FC601B" w:rsidR="006004C7" w:rsidRPr="00B4041C" w:rsidRDefault="006004C7" w:rsidP="0067467B">
      <w:pPr>
        <w:spacing w:after="0" w:line="240" w:lineRule="auto"/>
        <w:jc w:val="both"/>
        <w:rPr>
          <w:b/>
          <w:bCs/>
          <w:u w:val="single"/>
        </w:rPr>
      </w:pPr>
      <w:bookmarkStart w:id="0" w:name="_Hlk110849999"/>
      <w:r w:rsidRPr="00B4041C">
        <w:rPr>
          <w:b/>
          <w:bCs/>
          <w:u w:val="single"/>
        </w:rPr>
        <w:t>Background</w:t>
      </w:r>
    </w:p>
    <w:p w14:paraId="671C0CE5" w14:textId="77777777" w:rsidR="0067467B" w:rsidRDefault="0067467B" w:rsidP="0067467B">
      <w:pPr>
        <w:pStyle w:val="xmsonormal"/>
        <w:spacing w:before="0" w:beforeAutospacing="0" w:after="0" w:afterAutospacing="0"/>
        <w:jc w:val="both"/>
        <w:rPr>
          <w:color w:val="212121"/>
        </w:rPr>
      </w:pPr>
    </w:p>
    <w:p w14:paraId="7CF75786" w14:textId="635BFBE3" w:rsidR="00A8674E" w:rsidRDefault="00E44733" w:rsidP="0067467B">
      <w:pPr>
        <w:pStyle w:val="xmsonormal"/>
        <w:spacing w:before="0" w:beforeAutospacing="0" w:after="0" w:afterAutospacing="0"/>
        <w:jc w:val="both"/>
      </w:pPr>
      <w:r w:rsidRPr="00575967">
        <w:t>Trade and Investment Agreements (TIAs) are an important component of economic policy. However, policy coherence between trade</w:t>
      </w:r>
      <w:r w:rsidR="00F755C6" w:rsidRPr="00575967">
        <w:t>, environment</w:t>
      </w:r>
      <w:r w:rsidRPr="00575967">
        <w:t xml:space="preserve"> and health has proved challenging; for example, industry actors have used such agreements to dispute </w:t>
      </w:r>
      <w:r w:rsidR="00F755C6" w:rsidRPr="00575967">
        <w:t xml:space="preserve">environmental and </w:t>
      </w:r>
      <w:r w:rsidRPr="00575967">
        <w:t xml:space="preserve">health policy measures in critical areas, including </w:t>
      </w:r>
      <w:r w:rsidR="00F755C6" w:rsidRPr="00575967">
        <w:t xml:space="preserve">environmental laws and </w:t>
      </w:r>
      <w:r w:rsidRPr="00575967">
        <w:t xml:space="preserve">tobacco control. Recognising these risks, the </w:t>
      </w:r>
      <w:r w:rsidR="00F755C6" w:rsidRPr="00575967">
        <w:t xml:space="preserve">Organisation for Economic Co-operation and Development (OECD) and </w:t>
      </w:r>
      <w:r w:rsidRPr="00575967">
        <w:t>World Health Organization (WHO) ha</w:t>
      </w:r>
      <w:r w:rsidR="00F755C6" w:rsidRPr="00575967">
        <w:t>ve</w:t>
      </w:r>
      <w:r w:rsidRPr="00575967">
        <w:t xml:space="preserve"> recommended that</w:t>
      </w:r>
      <w:r w:rsidR="00F755C6" w:rsidRPr="00575967">
        <w:t xml:space="preserve"> environmental and</w:t>
      </w:r>
      <w:r w:rsidRPr="00575967">
        <w:t xml:space="preserve"> health safeguards be built into TIAs. However, the</w:t>
      </w:r>
      <w:r w:rsidR="00575967" w:rsidRPr="00575967">
        <w:t>ir</w:t>
      </w:r>
      <w:r w:rsidRPr="00575967">
        <w:t xml:space="preserve"> adoption has been limited and inconsistent, reflecting limited engagement by the</w:t>
      </w:r>
      <w:r w:rsidR="00F755C6" w:rsidRPr="00575967">
        <w:t xml:space="preserve"> environment and</w:t>
      </w:r>
      <w:r w:rsidRPr="00575967">
        <w:t xml:space="preserve"> health sector</w:t>
      </w:r>
      <w:r w:rsidR="00F755C6" w:rsidRPr="00575967">
        <w:t>s</w:t>
      </w:r>
      <w:r w:rsidRPr="00575967">
        <w:t xml:space="preserve"> and a lack of knowledge regarding best practice safeguards. </w:t>
      </w:r>
    </w:p>
    <w:p w14:paraId="479D25FB" w14:textId="77777777" w:rsidR="00575967" w:rsidRPr="00575967" w:rsidRDefault="00575967" w:rsidP="0067467B">
      <w:pPr>
        <w:pStyle w:val="xmsonormal"/>
        <w:spacing w:before="0" w:beforeAutospacing="0" w:after="0" w:afterAutospacing="0"/>
        <w:jc w:val="both"/>
      </w:pPr>
    </w:p>
    <w:p w14:paraId="34FD59D2" w14:textId="264A452F" w:rsidR="00E44733" w:rsidRDefault="00695C5F" w:rsidP="0067467B">
      <w:pPr>
        <w:pStyle w:val="xmsonormal"/>
        <w:spacing w:before="0" w:beforeAutospacing="0" w:after="0" w:afterAutospacing="0"/>
        <w:jc w:val="both"/>
      </w:pPr>
      <w:r w:rsidRPr="00042200">
        <w:t xml:space="preserve">The ‘International Investment Agreements and Health’ (Health-IIA) </w:t>
      </w:r>
      <w:r w:rsidR="00575967" w:rsidRPr="00042200">
        <w:t>project a</w:t>
      </w:r>
      <w:r w:rsidRPr="00042200">
        <w:t xml:space="preserve">ims to support the adoption of TIAs that have greater potential to protect public health. </w:t>
      </w:r>
      <w:r w:rsidR="000C41B7" w:rsidRPr="00042200">
        <w:t>and</w:t>
      </w:r>
      <w:r w:rsidR="00F755C6" w:rsidRPr="00042200">
        <w:t xml:space="preserve"> support a transition to sustainable food systems. </w:t>
      </w:r>
      <w:r w:rsidR="00E44733" w:rsidRPr="00042200">
        <w:t xml:space="preserve">The European Union (EU) has been a leader globally in the adoption of </w:t>
      </w:r>
      <w:r w:rsidR="00F755C6" w:rsidRPr="00042200">
        <w:t xml:space="preserve">environmental and </w:t>
      </w:r>
      <w:r w:rsidR="00E44733" w:rsidRPr="00042200">
        <w:t xml:space="preserve">health safeguards, and there is an opportunity for </w:t>
      </w:r>
      <w:r w:rsidR="00F755C6" w:rsidRPr="00042200">
        <w:t xml:space="preserve">environment, </w:t>
      </w:r>
      <w:r w:rsidR="00E44733" w:rsidRPr="00042200">
        <w:t>health and trade policy communities to learn from experience to date to address challenges including non-communicable diseases, planetary health and sustainable development.</w:t>
      </w:r>
    </w:p>
    <w:p w14:paraId="412DF45F" w14:textId="77777777" w:rsidR="00042200" w:rsidRPr="00042200" w:rsidRDefault="00042200" w:rsidP="0067467B">
      <w:pPr>
        <w:pStyle w:val="xmsonormal"/>
        <w:spacing w:before="0" w:beforeAutospacing="0" w:after="0" w:afterAutospacing="0"/>
        <w:jc w:val="both"/>
      </w:pPr>
    </w:p>
    <w:p w14:paraId="766BAB79" w14:textId="1FAAD08A" w:rsidR="00E44733" w:rsidRDefault="00E44733" w:rsidP="0067467B">
      <w:pPr>
        <w:pStyle w:val="xmsonormal"/>
        <w:spacing w:before="0" w:beforeAutospacing="0" w:after="0" w:afterAutospacing="0"/>
        <w:jc w:val="both"/>
      </w:pPr>
      <w:r w:rsidRPr="00231B03">
        <w:t xml:space="preserve">The proposed </w:t>
      </w:r>
      <w:r w:rsidR="00231B03" w:rsidRPr="00231B03">
        <w:t>seminar</w:t>
      </w:r>
      <w:r w:rsidRPr="00231B03">
        <w:t xml:space="preserve"> will provide a forum </w:t>
      </w:r>
      <w:r w:rsidR="00AD611F" w:rsidRPr="00231B03">
        <w:t xml:space="preserve">to </w:t>
      </w:r>
      <w:r w:rsidR="00695C5F" w:rsidRPr="00231B03">
        <w:t>disseminate the outputs of the Health-IIA project to date</w:t>
      </w:r>
      <w:r w:rsidR="00AD611F" w:rsidRPr="00231B03">
        <w:t xml:space="preserve"> and </w:t>
      </w:r>
      <w:r w:rsidR="00AD611F" w:rsidRPr="00231B03">
        <w:rPr>
          <w:rStyle w:val="Italic"/>
          <w:i w:val="0"/>
        </w:rPr>
        <w:t>discuss findings from two case studies highly relevant to the EU.</w:t>
      </w:r>
      <w:r w:rsidR="00695C5F" w:rsidRPr="00231B03">
        <w:rPr>
          <w:rStyle w:val="Italic"/>
          <w:i w:val="0"/>
        </w:rPr>
        <w:t xml:space="preserve"> The event will also provide an opportunity</w:t>
      </w:r>
      <w:r w:rsidRPr="00231B03">
        <w:t xml:space="preserve"> to showcase EU innovation to support policy coherence, share learnings from successes and develop a dialogue on emerging issues and challenges, and ways forward.</w:t>
      </w:r>
      <w:r w:rsidR="00F755C6" w:rsidRPr="00231B03">
        <w:t xml:space="preserve"> </w:t>
      </w:r>
    </w:p>
    <w:p w14:paraId="101CF92B" w14:textId="77777777" w:rsidR="00231B03" w:rsidRPr="00231B03" w:rsidRDefault="00231B03" w:rsidP="0067467B">
      <w:pPr>
        <w:pStyle w:val="xmsonormal"/>
        <w:spacing w:before="0" w:beforeAutospacing="0" w:after="0" w:afterAutospacing="0"/>
        <w:jc w:val="both"/>
        <w:rPr>
          <w:sz w:val="20"/>
          <w:szCs w:val="20"/>
        </w:rPr>
      </w:pPr>
    </w:p>
    <w:p w14:paraId="5C81286A" w14:textId="064E3FAE" w:rsidR="009F4719" w:rsidRPr="00BB1B21" w:rsidRDefault="00EF0AC6" w:rsidP="0067467B">
      <w:pPr>
        <w:spacing w:after="0" w:line="240" w:lineRule="auto"/>
        <w:jc w:val="both"/>
        <w:rPr>
          <w:b/>
          <w:bCs/>
        </w:rPr>
      </w:pPr>
      <w:r w:rsidRPr="00BB1B21">
        <w:rPr>
          <w:b/>
          <w:bCs/>
          <w:u w:val="single"/>
        </w:rPr>
        <w:t>Objectives</w:t>
      </w:r>
      <w:r w:rsidRPr="00BB1B21">
        <w:rPr>
          <w:b/>
          <w:bCs/>
        </w:rPr>
        <w:t xml:space="preserve">: </w:t>
      </w:r>
      <w:bookmarkStart w:id="1" w:name="_Hlk110850670"/>
    </w:p>
    <w:p w14:paraId="28183D9C" w14:textId="185F8569" w:rsidR="00EF0AC6" w:rsidRPr="00BB1B21" w:rsidRDefault="00EF0AC6" w:rsidP="0067467B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B1B21">
        <w:t>Sharing the findings and raising awareness about the issue</w:t>
      </w:r>
      <w:r w:rsidR="00695C5F">
        <w:t>s investigated by the Health-IIA</w:t>
      </w:r>
      <w:r w:rsidRPr="00BB1B21">
        <w:t xml:space="preserve"> </w:t>
      </w:r>
      <w:r w:rsidR="00695C5F">
        <w:t xml:space="preserve">project, </w:t>
      </w:r>
      <w:r w:rsidR="00EC1A18" w:rsidRPr="00BB1B21">
        <w:t>validate findings and receive feedback</w:t>
      </w:r>
      <w:r w:rsidR="00E50FDF">
        <w:t>.</w:t>
      </w:r>
    </w:p>
    <w:p w14:paraId="1673E2C0" w14:textId="5163EC46" w:rsidR="00BB1B21" w:rsidRPr="00F755C6" w:rsidRDefault="009F4719" w:rsidP="006746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BB1B21">
        <w:t>E</w:t>
      </w:r>
      <w:r w:rsidR="00EF0AC6" w:rsidRPr="00BB1B21">
        <w:t>ncourag</w:t>
      </w:r>
      <w:r w:rsidR="00B95847" w:rsidRPr="00BB1B21">
        <w:t>ing</w:t>
      </w:r>
      <w:r w:rsidR="00EF0AC6" w:rsidRPr="00BB1B21">
        <w:t xml:space="preserve"> a dialogue </w:t>
      </w:r>
      <w:r w:rsidR="00B03D28">
        <w:t xml:space="preserve">among </w:t>
      </w:r>
      <w:r w:rsidR="00EF0AC6" w:rsidRPr="00BB1B21">
        <w:t>sectors</w:t>
      </w:r>
      <w:r w:rsidR="00B95847" w:rsidRPr="00BB1B21">
        <w:t xml:space="preserve"> and disciplines</w:t>
      </w:r>
      <w:r w:rsidR="00EF0AC6" w:rsidRPr="00BB1B21">
        <w:t xml:space="preserve"> to </w:t>
      </w:r>
      <w:r w:rsidR="000C4938">
        <w:t>identify</w:t>
      </w:r>
      <w:r w:rsidR="00EF0AC6" w:rsidRPr="00BB1B21">
        <w:t xml:space="preserve"> </w:t>
      </w:r>
      <w:r w:rsidR="00F755C6">
        <w:t xml:space="preserve">lessons and </w:t>
      </w:r>
      <w:r w:rsidR="00EF0AC6" w:rsidRPr="00BB1B21">
        <w:t xml:space="preserve">opportunities </w:t>
      </w:r>
      <w:r w:rsidR="00F755C6">
        <w:t xml:space="preserve">to adopt TIAs that can support environmental and health imperatives besides promoting sustainable economic development. </w:t>
      </w:r>
      <w:bookmarkEnd w:id="0"/>
      <w:bookmarkEnd w:id="1"/>
    </w:p>
    <w:p w14:paraId="615447B9" w14:textId="77777777" w:rsidR="00DF4D83" w:rsidRDefault="00DF4D83" w:rsidP="0067467B">
      <w:pPr>
        <w:spacing w:after="0" w:line="240" w:lineRule="auto"/>
        <w:jc w:val="both"/>
        <w:rPr>
          <w:b/>
          <w:bCs/>
          <w:u w:val="single"/>
        </w:rPr>
      </w:pPr>
    </w:p>
    <w:sectPr w:rsidR="00DF4D83" w:rsidSect="00ED784F">
      <w:headerReference w:type="default" r:id="rId7"/>
      <w:footerReference w:type="default" r:id="rId8"/>
      <w:pgSz w:w="11906" w:h="16838"/>
      <w:pgMar w:top="198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8143" w14:textId="77777777" w:rsidR="00ED784F" w:rsidRDefault="00ED784F" w:rsidP="00D5682D">
      <w:pPr>
        <w:spacing w:after="0" w:line="240" w:lineRule="auto"/>
      </w:pPr>
      <w:r>
        <w:separator/>
      </w:r>
    </w:p>
  </w:endnote>
  <w:endnote w:type="continuationSeparator" w:id="0">
    <w:p w14:paraId="5DE8C3DD" w14:textId="77777777" w:rsidR="00ED784F" w:rsidRDefault="00ED784F" w:rsidP="00D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780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92926" w14:textId="4F1798CD" w:rsidR="001A6616" w:rsidRDefault="001A6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B3DD5" w14:textId="77777777" w:rsidR="001A6616" w:rsidRDefault="001A6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B76D" w14:textId="77777777" w:rsidR="00ED784F" w:rsidRDefault="00ED784F" w:rsidP="00D5682D">
      <w:pPr>
        <w:spacing w:after="0" w:line="240" w:lineRule="auto"/>
      </w:pPr>
      <w:r>
        <w:separator/>
      </w:r>
    </w:p>
  </w:footnote>
  <w:footnote w:type="continuationSeparator" w:id="0">
    <w:p w14:paraId="65F1BCCD" w14:textId="77777777" w:rsidR="00ED784F" w:rsidRDefault="00ED784F" w:rsidP="00D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62D5" w14:textId="408D43B4" w:rsidR="00D5682D" w:rsidRPr="00AD611F" w:rsidRDefault="00AD611F" w:rsidP="00AD611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A7CDB2" wp14:editId="0FB61B47">
          <wp:simplePos x="0" y="0"/>
          <wp:positionH relativeFrom="column">
            <wp:posOffset>4983480</wp:posOffset>
          </wp:positionH>
          <wp:positionV relativeFrom="paragraph">
            <wp:posOffset>-107315</wp:posOffset>
          </wp:positionV>
          <wp:extent cx="1368000" cy="547200"/>
          <wp:effectExtent l="0" t="0" r="3810" b="5715"/>
          <wp:wrapSquare wrapText="bothSides"/>
          <wp:docPr id="348202716" name="Picture 2" descr="The University of Sydney | Study Op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Sydney | Study Op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1AEABB" wp14:editId="062139AA">
          <wp:simplePos x="0" y="0"/>
          <wp:positionH relativeFrom="column">
            <wp:posOffset>3718560</wp:posOffset>
          </wp:positionH>
          <wp:positionV relativeFrom="paragraph">
            <wp:posOffset>-53975</wp:posOffset>
          </wp:positionV>
          <wp:extent cx="1098000" cy="507600"/>
          <wp:effectExtent l="0" t="0" r="6985" b="6985"/>
          <wp:wrapSquare wrapText="bothSides"/>
          <wp:docPr id="442283247" name="Picture 4" descr="WHO Regional Office for Europe — Discover the key services, thematic  features and tools of Climate-ADA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O Regional Office for Europe — Discover the key services, thematic  features and tools of Climate-ADA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41C155" wp14:editId="72D6713B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501140" cy="454025"/>
          <wp:effectExtent l="0" t="0" r="3810" b="3175"/>
          <wp:wrapSquare wrapText="bothSides"/>
          <wp:docPr id="249210482" name="Picture 3" descr="OECD |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ECD | Par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08" b="35943"/>
                  <a:stretch/>
                </pic:blipFill>
                <pic:spPr bwMode="auto">
                  <a:xfrm>
                    <a:off x="0" y="0"/>
                    <a:ext cx="150114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B6C01C7" wp14:editId="1CCE0E00">
          <wp:simplePos x="0" y="0"/>
          <wp:positionH relativeFrom="column">
            <wp:posOffset>-198120</wp:posOffset>
          </wp:positionH>
          <wp:positionV relativeFrom="paragraph">
            <wp:posOffset>-55880</wp:posOffset>
          </wp:positionV>
          <wp:extent cx="1889760" cy="466725"/>
          <wp:effectExtent l="0" t="0" r="0" b="9525"/>
          <wp:wrapTight wrapText="bothSides">
            <wp:wrapPolygon edited="0">
              <wp:start x="1089" y="0"/>
              <wp:lineTo x="0" y="4408"/>
              <wp:lineTo x="0" y="16751"/>
              <wp:lineTo x="1089" y="21159"/>
              <wp:lineTo x="3919" y="21159"/>
              <wp:lineTo x="21339" y="21159"/>
              <wp:lineTo x="21339" y="4408"/>
              <wp:lineTo x="16984" y="882"/>
              <wp:lineTo x="3919" y="0"/>
              <wp:lineTo x="1089" y="0"/>
            </wp:wrapPolygon>
          </wp:wrapTight>
          <wp:docPr id="197945776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283869" name="Picture 1" descr="A black background with blu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00A"/>
    <w:multiLevelType w:val="hybridMultilevel"/>
    <w:tmpl w:val="D88043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B7C"/>
    <w:multiLevelType w:val="hybridMultilevel"/>
    <w:tmpl w:val="54DAAE1C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2E77E9"/>
    <w:multiLevelType w:val="hybridMultilevel"/>
    <w:tmpl w:val="02608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7D60"/>
    <w:multiLevelType w:val="hybridMultilevel"/>
    <w:tmpl w:val="4ED0E5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51C3D"/>
    <w:multiLevelType w:val="hybridMultilevel"/>
    <w:tmpl w:val="13AAD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5C58"/>
    <w:multiLevelType w:val="hybridMultilevel"/>
    <w:tmpl w:val="ADB81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396C"/>
    <w:multiLevelType w:val="hybridMultilevel"/>
    <w:tmpl w:val="C3EE1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68A5"/>
    <w:multiLevelType w:val="hybridMultilevel"/>
    <w:tmpl w:val="923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4249B"/>
    <w:multiLevelType w:val="hybridMultilevel"/>
    <w:tmpl w:val="0D5601EC"/>
    <w:lvl w:ilvl="0" w:tplc="A30468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1098B"/>
    <w:multiLevelType w:val="hybridMultilevel"/>
    <w:tmpl w:val="9B3E02A0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FA24DA3"/>
    <w:multiLevelType w:val="hybridMultilevel"/>
    <w:tmpl w:val="7A348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37138">
    <w:abstractNumId w:val="6"/>
  </w:num>
  <w:num w:numId="2" w16cid:durableId="718631025">
    <w:abstractNumId w:val="10"/>
  </w:num>
  <w:num w:numId="3" w16cid:durableId="836114318">
    <w:abstractNumId w:val="0"/>
  </w:num>
  <w:num w:numId="4" w16cid:durableId="1710063547">
    <w:abstractNumId w:val="7"/>
  </w:num>
  <w:num w:numId="5" w16cid:durableId="153760169">
    <w:abstractNumId w:val="5"/>
  </w:num>
  <w:num w:numId="6" w16cid:durableId="1198470553">
    <w:abstractNumId w:val="3"/>
  </w:num>
  <w:num w:numId="7" w16cid:durableId="48502561">
    <w:abstractNumId w:val="1"/>
  </w:num>
  <w:num w:numId="8" w16cid:durableId="728654341">
    <w:abstractNumId w:val="9"/>
  </w:num>
  <w:num w:numId="9" w16cid:durableId="561260927">
    <w:abstractNumId w:val="2"/>
  </w:num>
  <w:num w:numId="10" w16cid:durableId="12733538">
    <w:abstractNumId w:val="4"/>
  </w:num>
  <w:num w:numId="11" w16cid:durableId="277373844">
    <w:abstractNumId w:val="8"/>
  </w:num>
  <w:num w:numId="12" w16cid:durableId="444427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C6"/>
    <w:rsid w:val="00016796"/>
    <w:rsid w:val="00042200"/>
    <w:rsid w:val="00044020"/>
    <w:rsid w:val="00051E91"/>
    <w:rsid w:val="00056CAF"/>
    <w:rsid w:val="00077BA2"/>
    <w:rsid w:val="000A2064"/>
    <w:rsid w:val="000B40C9"/>
    <w:rsid w:val="000B4364"/>
    <w:rsid w:val="000B6167"/>
    <w:rsid w:val="000C41B7"/>
    <w:rsid w:val="000C4938"/>
    <w:rsid w:val="00102C0B"/>
    <w:rsid w:val="0012463D"/>
    <w:rsid w:val="0013312B"/>
    <w:rsid w:val="00137B74"/>
    <w:rsid w:val="00144408"/>
    <w:rsid w:val="00151272"/>
    <w:rsid w:val="001765A1"/>
    <w:rsid w:val="00195E93"/>
    <w:rsid w:val="001A6616"/>
    <w:rsid w:val="001B70FB"/>
    <w:rsid w:val="001C1846"/>
    <w:rsid w:val="001E15E8"/>
    <w:rsid w:val="001E633E"/>
    <w:rsid w:val="001E755C"/>
    <w:rsid w:val="001F1747"/>
    <w:rsid w:val="001F4AD3"/>
    <w:rsid w:val="002157A7"/>
    <w:rsid w:val="00231B03"/>
    <w:rsid w:val="00257ED5"/>
    <w:rsid w:val="00280E9E"/>
    <w:rsid w:val="002A7B0F"/>
    <w:rsid w:val="002C1DD6"/>
    <w:rsid w:val="002D644C"/>
    <w:rsid w:val="003120A2"/>
    <w:rsid w:val="00366CF8"/>
    <w:rsid w:val="003D00CD"/>
    <w:rsid w:val="003D285D"/>
    <w:rsid w:val="003E75E7"/>
    <w:rsid w:val="003F35DE"/>
    <w:rsid w:val="003F48C7"/>
    <w:rsid w:val="004336E2"/>
    <w:rsid w:val="00455FCE"/>
    <w:rsid w:val="0046161B"/>
    <w:rsid w:val="00471161"/>
    <w:rsid w:val="0048172E"/>
    <w:rsid w:val="004D4171"/>
    <w:rsid w:val="004D60C9"/>
    <w:rsid w:val="004F5587"/>
    <w:rsid w:val="00513755"/>
    <w:rsid w:val="00520BA3"/>
    <w:rsid w:val="00525BB2"/>
    <w:rsid w:val="00547569"/>
    <w:rsid w:val="0055392E"/>
    <w:rsid w:val="005704AC"/>
    <w:rsid w:val="00575967"/>
    <w:rsid w:val="00586BE7"/>
    <w:rsid w:val="00593EC9"/>
    <w:rsid w:val="005A0754"/>
    <w:rsid w:val="005C7187"/>
    <w:rsid w:val="005D2C31"/>
    <w:rsid w:val="005E4FA0"/>
    <w:rsid w:val="005F054F"/>
    <w:rsid w:val="006004C7"/>
    <w:rsid w:val="00606DAB"/>
    <w:rsid w:val="00606ED9"/>
    <w:rsid w:val="00621953"/>
    <w:rsid w:val="00634EB0"/>
    <w:rsid w:val="0064517C"/>
    <w:rsid w:val="006516DD"/>
    <w:rsid w:val="0067467B"/>
    <w:rsid w:val="006952A4"/>
    <w:rsid w:val="00695C5F"/>
    <w:rsid w:val="006A3AC3"/>
    <w:rsid w:val="006B2A3E"/>
    <w:rsid w:val="006C017E"/>
    <w:rsid w:val="006C2C5D"/>
    <w:rsid w:val="006D32B2"/>
    <w:rsid w:val="007246B3"/>
    <w:rsid w:val="00726E8F"/>
    <w:rsid w:val="00740060"/>
    <w:rsid w:val="00784498"/>
    <w:rsid w:val="007854D2"/>
    <w:rsid w:val="00785A76"/>
    <w:rsid w:val="007B0F71"/>
    <w:rsid w:val="007D072A"/>
    <w:rsid w:val="007D50C1"/>
    <w:rsid w:val="007E67C2"/>
    <w:rsid w:val="007F60EC"/>
    <w:rsid w:val="00802453"/>
    <w:rsid w:val="00811B43"/>
    <w:rsid w:val="00842890"/>
    <w:rsid w:val="008558D3"/>
    <w:rsid w:val="00870C4E"/>
    <w:rsid w:val="00880213"/>
    <w:rsid w:val="008A0DC9"/>
    <w:rsid w:val="008E205F"/>
    <w:rsid w:val="008E66E2"/>
    <w:rsid w:val="008F179B"/>
    <w:rsid w:val="00905707"/>
    <w:rsid w:val="00916758"/>
    <w:rsid w:val="00923288"/>
    <w:rsid w:val="00943840"/>
    <w:rsid w:val="009534E8"/>
    <w:rsid w:val="0098792F"/>
    <w:rsid w:val="009C6D81"/>
    <w:rsid w:val="009F4719"/>
    <w:rsid w:val="00A07C78"/>
    <w:rsid w:val="00A157AD"/>
    <w:rsid w:val="00A43501"/>
    <w:rsid w:val="00A729A7"/>
    <w:rsid w:val="00A8674E"/>
    <w:rsid w:val="00A974C4"/>
    <w:rsid w:val="00AC676B"/>
    <w:rsid w:val="00AD611F"/>
    <w:rsid w:val="00AE044A"/>
    <w:rsid w:val="00AE49E9"/>
    <w:rsid w:val="00AE7576"/>
    <w:rsid w:val="00AF4104"/>
    <w:rsid w:val="00AF4A41"/>
    <w:rsid w:val="00B026EF"/>
    <w:rsid w:val="00B03D28"/>
    <w:rsid w:val="00B10E84"/>
    <w:rsid w:val="00B13269"/>
    <w:rsid w:val="00B23F47"/>
    <w:rsid w:val="00B25592"/>
    <w:rsid w:val="00B313B6"/>
    <w:rsid w:val="00B4041C"/>
    <w:rsid w:val="00B43B44"/>
    <w:rsid w:val="00B6430A"/>
    <w:rsid w:val="00B73CD3"/>
    <w:rsid w:val="00B95847"/>
    <w:rsid w:val="00B9734E"/>
    <w:rsid w:val="00BA4A6A"/>
    <w:rsid w:val="00BA5E75"/>
    <w:rsid w:val="00BA7B0C"/>
    <w:rsid w:val="00BB1B21"/>
    <w:rsid w:val="00BB769A"/>
    <w:rsid w:val="00BC0296"/>
    <w:rsid w:val="00BD728D"/>
    <w:rsid w:val="00C21F9E"/>
    <w:rsid w:val="00C26023"/>
    <w:rsid w:val="00C476FC"/>
    <w:rsid w:val="00C57777"/>
    <w:rsid w:val="00C645DF"/>
    <w:rsid w:val="00C86175"/>
    <w:rsid w:val="00C86B02"/>
    <w:rsid w:val="00C959D9"/>
    <w:rsid w:val="00CB7496"/>
    <w:rsid w:val="00CD71F9"/>
    <w:rsid w:val="00CE74EE"/>
    <w:rsid w:val="00CF3B45"/>
    <w:rsid w:val="00D275E4"/>
    <w:rsid w:val="00D322DC"/>
    <w:rsid w:val="00D3638C"/>
    <w:rsid w:val="00D46CFD"/>
    <w:rsid w:val="00D532F1"/>
    <w:rsid w:val="00D5682D"/>
    <w:rsid w:val="00D60BAF"/>
    <w:rsid w:val="00D74D3D"/>
    <w:rsid w:val="00D93ED2"/>
    <w:rsid w:val="00D941A2"/>
    <w:rsid w:val="00DA410C"/>
    <w:rsid w:val="00DD186B"/>
    <w:rsid w:val="00DD5D46"/>
    <w:rsid w:val="00DF24A7"/>
    <w:rsid w:val="00DF4D83"/>
    <w:rsid w:val="00E115FE"/>
    <w:rsid w:val="00E2441F"/>
    <w:rsid w:val="00E2781A"/>
    <w:rsid w:val="00E3409C"/>
    <w:rsid w:val="00E44733"/>
    <w:rsid w:val="00E50FDF"/>
    <w:rsid w:val="00E7203C"/>
    <w:rsid w:val="00EA0B35"/>
    <w:rsid w:val="00EC1A18"/>
    <w:rsid w:val="00ED784F"/>
    <w:rsid w:val="00EF0AC6"/>
    <w:rsid w:val="00F006DD"/>
    <w:rsid w:val="00F17C0D"/>
    <w:rsid w:val="00F30E10"/>
    <w:rsid w:val="00F755C6"/>
    <w:rsid w:val="00FA1572"/>
    <w:rsid w:val="00FA232E"/>
    <w:rsid w:val="00FD2CC1"/>
    <w:rsid w:val="00FF22F3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48034"/>
  <w15:chartTrackingRefBased/>
  <w15:docId w15:val="{A6B3647D-0F72-4E0F-AA4D-2BC6DD67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0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AC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C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0AC6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F0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2D"/>
  </w:style>
  <w:style w:type="paragraph" w:styleId="Footer">
    <w:name w:val="footer"/>
    <w:basedOn w:val="Normal"/>
    <w:link w:val="FooterChar"/>
    <w:uiPriority w:val="99"/>
    <w:unhideWhenUsed/>
    <w:rsid w:val="00D5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2D"/>
  </w:style>
  <w:style w:type="character" w:styleId="Hyperlink">
    <w:name w:val="Hyperlink"/>
    <w:basedOn w:val="DefaultParagraphFont"/>
    <w:uiPriority w:val="99"/>
    <w:unhideWhenUsed/>
    <w:rsid w:val="00785A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6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CC1"/>
    <w:rPr>
      <w:color w:val="605E5C"/>
      <w:shd w:val="clear" w:color="auto" w:fill="E1DFDD"/>
    </w:rPr>
  </w:style>
  <w:style w:type="paragraph" w:customStyle="1" w:styleId="Default">
    <w:name w:val="Default"/>
    <w:rsid w:val="00D941A2"/>
    <w:pPr>
      <w:autoSpaceDE w:val="0"/>
      <w:autoSpaceDN w:val="0"/>
      <w:adjustRightInd w:val="0"/>
      <w:spacing w:after="0" w:line="240" w:lineRule="auto"/>
    </w:pPr>
    <w:rPr>
      <w:rFonts w:ascii="Tenorite" w:hAnsi="Tenorite" w:cs="Tenorite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6004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E4473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Patay</dc:creator>
  <cp:keywords/>
  <dc:description/>
  <cp:lastModifiedBy>RIPPIN, Holly</cp:lastModifiedBy>
  <cp:revision>4</cp:revision>
  <cp:lastPrinted>2022-09-29T04:17:00Z</cp:lastPrinted>
  <dcterms:created xsi:type="dcterms:W3CDTF">2024-05-10T11:36:00Z</dcterms:created>
  <dcterms:modified xsi:type="dcterms:W3CDTF">2024-05-10T11:37:00Z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9c26a2bb83da466be2bf440d8f9a862c486f99974dae0270d1c62a1fc53d0134</vt:lpwstr>
  </property>
</Properties>
</file>